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734254-О/2023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Опарина Павла Валерьевича на нарушение его конституционных прав статьями 196, 199, пунктом 1 статьи 200 и статьей 1069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П.В.Опарина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П.В.Опарин оспаривает конституционность статей 196 «Общий срок исковой давности», 199 «Применение исковой давности», пункта 1 статьи 200 «Начало течения срока исковой давности» и статьи 1069 «Ответственность за вред, причиненный государственными органами, органами местного самоуправления, а также их должностными лицами» ГК Российской Федерации. Решением суда общей юрисдикции, оставленным без изменения судами вышестоящих инстанций, П.В.Опарину отказано в удовлетворении требования о возмещении убытков, причиненных, как он полагал, 2 некачественным расследованием уголовного дела. Помимо прочего, суды применили последствия пропуска заявителем срока исковой давности. Определением судьи Верховного Суда Российской Федерации, с которым согласился заместитель Председателя этого суда, в передаче кассационной жалобы П.В.Опарина для рассмотрения в судебном заседании суда кассационной инстанции отказано. По мнению заявителя, оспариваемые положения противоречат статьям 19 (часть 1), 45 (часть 1), 46 (часть 1) и 53 Конституции Российской Федерации в той мере, в какой статьи 196, 199 и пункт 1 статьи 200 ГК Российской Федерации позволяют судам произвольно отсчитывать срок исковой давности по иску о возмещении убытков, причиненных должностными лицами органов предварительного расследования, от момента вступления в законную силу решения суда о присуждении компенсации за нарушение права на досудебное производство по уголовному делу в разумный срок, а статья 1069 того же Кодекса предполагает необходимость доказывания потерпевшим противоправности действий (бездействия) соответствующих должностных лиц и их вины в причинении вреда.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Установление в законе общего срока исковой давности, т.е. срока для защиты интересов лица, право которого нарушено (статья 196 ГК Российской Федерации), начала его течения (статья 200 ГК Российской Федерации) и последствий его пропуска (статья 199 ГК Российской Федерации) обусловлено необходимостью обеспечить стабильность гражданского оборота и не может рассматриваться как нарушающее какие-либо конституционные права. При этом положение пункта 1 статьи 200 ГК Российской Федерации сформулировано таким образом, что наделяет суд необходимыми полномочиями по определению момента начала течения срока исковой давности исходя из фактических обстоятельств дела (определения Конституционного Суда Российской Федерации от 29 марта 3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Опарина Павла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