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608476-П/2022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апреля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Свидерского Станислава Владимировича на нарушение конституционных прав его несовершеннолетней дочери Свидерской Анастасии Станиславовны пунктом 3 статьи 1073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С.В.Свидерского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С.В.Свидерский, действующий в интересах несовершеннолетней А.С.Свидерской, оспаривает конституционность пункта 3 статьи 1073 ГК Российской Федерации, согласно которому, если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надзор,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 2 По мнению заявителя, оспариваемая норма противоречит статьям 19 (части 1 и 2), 22 (часть 1) и 52 Конституции Российской Федерации, поскольку устанавливает необоснованно высокий (14 лет) возраст, вплоть до достижения которого установлена презумпция виновности образовательной или иной организации в причинении вреда малолетним во время нахождения его под надзором данной организации. Как следует из представленных материалов, определением суда апелляционной инстанции требования законного представителя А.С.Свидерской, действовавшего в интересах последней, о компенсации морального вреда к законному представителю несовершеннолетнего причинителя вреда и образовательной организации удовлетворены частично. Суд апелляционной инстанции пришел к выводу, что надлежащим ответчиком по иску является образовательная организация. Названное судебное постановление в кассационном порядке обжаловано не было. При этом заявитель считает, что им были исчерпаны все доступные внутригосударственные средства судебной защиты, поскольку сложившаяся, по его мнению, правоприменительная практика свидетельствует о том, что иное применение пункта 3 статьи 1073 ГК Российской Федерации не предполагается.</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пункта 3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исчерпаны все другие внутригосударственные средства судебной защиты прав заявителя при разрешении конкретного дела. При этом под таким исчерпанием понимается подача в соответствии с законодательством о соответствующем виде судопроизводства кассационной жалобы в суд максимально высокой для данной категории дел инстанции или, когда 3 вступившие в силу судебные акты по данной категории дел подлежат обжалованию только в надзорном порядке, надзорной жалобы, если судебный акт, в котором применен оспариваемый нормативный акт, был предметом кассационного или надзорного обжалования в связи с применением этого нормативного акта, а подача кассационной или надзорной жалобы не привела к устранению признаков нарушения конституционных прав.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Свидерского Станислава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