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первой статьи 79 Федерального конституционного закона «О Конституционном Суде Российской Федерации», а также статьями 255, 38920 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первой статьи 79 «Юридическая сила решения» Федерального конституционного закона от 21 июля 1994 года № 1-ФКЗ «О Конституционном Суде Российской Федерации», а также статей 255 «Решение вопроса о мере пресечения», 38920 «Решения, принимаемые судом апелляционной инстанции» и 38928 «Апелляционные приговор, определение и постановление» УПК Российской Федерации. По мнению заявителя, оспариваемые законоположения, принимая во внимание Определение Конституционного Суда Российской Федерации от 23 2 июля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Э.А.Гусейновым часть первая статьи 79 Федерального конституционного закона «О Конституционном Суде Российской Федерации» не содержит каких-либо положений, позволяющих правоприменителю не учитывать при применении законодательных норм их конституционно-правовое истолкование, выраженное в сохраняющих силу решениях Конституционного Суда Российской Федерации, а потому не может рассматриваться как нарушающая конституционные права заявителя в указанном в жалобе аспекте. Кроме того, Определение Конституционного Суда Российской Федерации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