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598885-П/2022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К. на нарушение его конституционных прав статьей 146 Семейного кодекса Российской Федерации, Постановлением Правительства Российской Федерации «Об отдельных вопросах осуществления опеки и попечительства в отношении несовершеннолетних граждан» и утвержденными им 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К.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 просит признать не противоречащими Конституции Российской Федерации – как определяющие требования к опекунам и приемным родителям и устанавливают перечень необходимых документов – статью 146 Семейного кодекса Российской Федерации, Постановление Правительства Российской Федерации от 18 мая 2009 года № 423 «Об отдельных вопросах осуществления опеки и попечительства в отношении несовершеннолетних граждан» и утвержденные им Правила подбора, учета и 2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 Кроме того, заявитель просит постановить, что решение суда первой инстанции подлежит пересмотру в установленном порядке как вынесенное на основании статьи 146 Семейного кодекса Российской Федерации и названного Постановления Правительства Российской Федерации в истолковании, расходящемся с их конституционно-правовым смыслом. Соответственно, К. фактически оспаривает конституционность упомянутой нормы Семейного кодекса Российской Федерации и перечисленных нормативных правовых актов. Кроме того, заявитель указывает, что принятые по делу с его участием судебные акты противоречат действующему законодательству, и просит отменить определения судов апелляционной и кассационной инстанций. Как следует из представленных материалов, решением суда общей юрисдикции, оставленным без изменения определением суда апелляционной инстанции, отказано в удовлетворении административного искового заявления К. о признании незаконным заключения органа опеки и попечительства, в соответствии с которым он не может быть усыновителем или опекуном (попечителем). Определением суда кассационной инстанции судебные акты нижестоящих судов оставлены без изменения.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3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С жалобой представлены акты судов первой, апелляционной и кассационной инстанций. Таким образом, представленные материалы не позволяют сделать вывод об исчерпании заявителем внутригосударственных средств судебной защиты. Разрешение же постановленного в обращении вопроса об отмене принятых по делу с участием заявителя судебных актов не входит в компетенцию Конституционного Суда Российской Федерации, закрепленную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