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Александра Алексеевича на нарушение его конституционных прав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А.А.Воробьев оспаривает конституционность подпункта 4 статьи 1109 ГК Российской Федерации, закрепляющего, что не подлежат возврату в качестве неосновательного обогащения денежные суммы и иное имущество, предоставленные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благотворительности. Как следует из представленных материалов, решением суда общей юрисдикции, оставленным без изменения определением суда апелляционной 2 инстанции, отказано в удовлетворении требований А.А.Воробьева о взыскании с ответчика неосновательного обогащения и процентов за пользование чужими денежными средствами. В обоснование иска заявитель ссылался на то, что в качестве третьего лица исполнил обязательство общества с ограниченной ответственностью перед ответчиком, однако впоследствии расчеты с кредитором были осуществлены в полном объеме в деле о банкротстве общества. Суды указали, что денежные средства были перечислены истцом добровольно в счет исполнения обязательства общества и что неосновательное обогащение на стороне ответчика отсутствует. Кроме того, суды отметили, что А.А.Воробьев, которому был разъяснен порядок возврата излишне уплаченных в бюджет денежных средств, за таким возвратом не обращался и что доказательства излишней уплаты этих средств не представлены. Суд первой инстанции также упомянул, что заявитель не лишен возможности потребовать взыскания денежных средств с общества с ограниченной ответственностью. В передаче кассационной жалобы на названные судебные постановления и определение суда кассационной инстанции, которыми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35 (части 1 и 2) и 46 (части 1 и 2)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оно препятствует возврату неосновательного обогащения третьему лицу, исполнившему в соответствии с правилами статьи 313 ГК Российской Федерации обязательство за должника, который не возлагал на него исполнение, если должник также совершил платеж в пользу кредитора, получившего в результате предоставление в двойном размере.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4 статьи 1109 ГК Российской Федерации основан на презумпции добросовестности и разумности действий участников гражданского оборота (пункт 5 статьи 10 ГК Российской Федерации), обеспечивает справедливый баланс их интересов и служит реализации предписаний статей 17 (часть 3), 35, 46 и 55 (часть 3) Конституции Российской Федерации (определения Конституционного Суда Российской Федерации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Александра Алексеевича,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