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783358-О/2024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Кузенковой Людмилы Георгиевны на нарушение ее конституционных прав пунктом 1 статьи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Л.Г.Кузенковой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Л.Г.Кузенкова оспаривает конституционность пункта 1 статьи 302 ГК Российской Федерации, закрепляющего, что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2 Из представленных материалов следует, что определением суда апелляционной инстанции отменено решение суда общей юрисдикции и, среди прочего, по требованию, предъявленному финансовым управляющим, жилое помещение истребовано от Л.Г.Кузенковой в пользу должника в деле о банкротстве. Суд апелляционной инстанции указал, что в деле о банкротстве договор дарения этого жилого помещения должником своему несовершеннолетнему ребенку признан ничтожным и что ребенок, у которого заявительница приобрела спорное имущество, не имел права его отчуждать. Кроме того, суд посчитал поведение Л.Г.Кузенковой, не проявившей должной заботливости и осмотрительности, недобросовестным и отметил, что жилое помещение было приобретено по цене, которая была значительно ниже рыночной. В передаче кассационной жалобы на названное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Конституции Российской Федерации, поскольку оно позволяет истребовать жилое помещение из владения добросовестного приобретателя, приобретшего это жилое помещение возмездно.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правовых позиций, выраженных в Постановлении Конституционного Суда Российской Федерации от 21 апреля 2003 года № 6- П и других его решениях, закрепленное в статье 302 ГК Российской Федерации правовое регулирование отвечает целям обеспечения стабильности гражданского оборота и направлено в целом на установление баланса прав и законных интересов всех его участников. 3 Оспариваемое положение само по себе не может расцениваться в качестве нарушающего конституционные права заявительницы в обозначенном в жалобе аспекте. Кроме того, доводы, приведенные в обоснование жалобы, в частности утверждение о проявлении Л.Г.Кузенковой при заключении договора достаточной заботливости и осмотрительности, свидетельствуют о том, что нарушение конституционных прав заявительница связывает не с содержанием оспариваемой нормы, а с выводом суда об отсутствии оснований для признания ее добросовестным приобретателем спорного жилого помещения. Такой вывод, по утверждению заявительницы, не основан на всестороннем, полном и объективном исследовании доказательств. Между тем установление и исследование фактических обстоятельств конкретного дела, оценка доказательств, послуживших основанием для применения в деле тех или иных норм права,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Кузенковой Людмилы Георгиевны,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