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726393-О/2023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Фрибуса Александра Рудольфовича на нарушение его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А.Р.Фрибуса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А.Р.Фрибуса и оставленным без изменения постановлениями судов апелляционной и кассационной инстанций, брачный договор, заключенный между должником и гражданкой Е.В.Фрибус, был признан недействительной сделкой, применены последствия недействительности сделки. При этом суды исходили, в частности, из того, что данная сделка совершена с целью причинения вреда имущественным правам кредиторов, а также доказанности совокупности 2 условий, необходимых для признания недействительной сделки, совершенной в пользу заинтересованного лица. А.Р.Фрибус оспаривает конституционность пункта 2 статьи 612 «Оспаривание подозрительных сделок должника» Федерального закона от 26 октября 2002 года № 127-ФЗ «О несостоятельности (банкротстве)». По мнению заявителя, это законоположение противоречит статьям 19 (часть 1), 46 (часть 1) и 47 (часть 1) Конституции Российской Федерации, поскольку допускает возможность признания сделки (брачного договора) недействительной без учета фактической цели и выяснения обстоятельств, послуживших причиной для ее совершения.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(подозрительная сделка); предполагается, что 3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Данные законоположения, направленные на противодействие последствиям совершения сделок в целях причинения вреда имущественным правам кредиторов, обеспечивают защиту имущественных интересов кредиторов и не могут расцениваться в качестве нарушающих конституционные права заявителя, указанные в жалобе. Установление же и оценка фактических обстоятельств конкретного дела к компетенции Конституционного Суда Российской Федерации, как она предусмотрена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Фрибуса Александра Рудольфовича,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