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Баталина Дмитрия Сергеевича на нарушение его конституционных прав статьей 25, частью второй статьи 268 Уголовно-процессуального кодекса Российской Федерации и статьей 76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Д.С.Баталина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декабря 2020 года, с которым согласился заместитель Председателя этого суда (письмо от 2 марта 2021 года), отказано в передаче для рассмотрения в судебном заседании суда кассационной инстанции жалобы гражданина Д.С.Баталина на вынесенный в его отношении приговор, постановленный в особом порядке. При этом отмечено, что, как следует из протокола судебного заседания, представителю потерпевшего председательствующий разъяснил процессуальные права, предусмотренные Уголовно-процессуальным кодексом Российской Федерации, а каких-либо ходатайств или заявлений от представителя потерпевшего не поступало. 2 В этой связи Д.С.Баталин просит признать не соответствующими статьям 18, 19 (часть 1) и 45 (часть 1) Конституции Российской Федерации статью 25 «Прекращение уголовного дела в связи с примирением сторон», часть вторую статьи 268 «Разъяснение потерпевшему, гражданскому истцу и гражданскому ответчику их прав» УПК Российской Федерации и статью 76 «Освобождение от уголовной ответственности в связи с примирением с потерпевшим» УК Российской Федерации, поскольку, по его утверждению, данные нормы не обязывают председательствующего разъяснять потерпевшему (его представителю) право на примирение с подсудимым.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268 УПК Российской Федерации прямо устанавливает, что председательствующий разъясняет потерпевшему в числе прочего его право на примирение с подсудимым в случаях, предусмотренных статьей 25 этого Кодекса. Как следует из жалобы и представленных с ней материалов, Д.С.Баталин, формально оспаривая конституционность вышеуказанных положений, а также статьи 76 УК Российской Федерации, – согласно которой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вред, – фактически связывает нарушение своих прав с тем обстоятельством, что, по его мнению, в его деле председательствующий не разъяснил потерпевшему право на примирение с подсудимым, притом что судьи суда кассационной инстанции, проверив доводы кассационных жалоб, пришли к иному выводу. Тем самым заявитель, по существу, ставит перед Конституционным Судом Российской Федерации требующий исследования фактических обстоятельств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3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