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538805-П/2021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Мальцева Александра Владимировича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А.В.Мальцева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Письмами судей Верховного Суда Российской Федерации, в том числе от 30 декабря 2020 года и от 1 марта 2021 года, возвращены без рассмотрения как повторные кассационные жалобы гражданина А.В.Мальцева о пересмотре вынесенных в его отношении судебных решений. При этом разъяснено, что постановлением судьи Верховного Суда Российской Федерации от 14 марта 2019 года, с которым, в свою очередь, согласился заместитель Председателя того же суда (письмо от 29 мая 2019 года), отказано в передаче для рассмотрения в судебном заседании суда кассационной инстанции предшествующей кассационной жалобы А.В.Мальцева, в которой содержались аналогичные доводы. 2 В данной связи заявитель просит признать не соответствующей статьям 18, 46 (часть 1) и 50 (часть 3) Конституции Российской Федерации статью 40117 «Недопустимость внесения повторных кассационных жалобы, представления» УПК Российской Федерации, как исключающую возможность обжалования постановления судьи суда кассационной инстанции и препятствующую дальнейшему оспариванию в кассационном порядке вступивших в законную силу судебных решений.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Мальцева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