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684243-П/2023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«Строительно-монтажное управление – 5» на нарушение его конституционных прав пунктом 1 статьи 3083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акционерного общества «Строительно-монтажное управление – 5»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«Строительно-монтажное управление – 5» (далее также – Общество) оспаривает конституционность пункта 1 статьи 3083 ГК Российской Федерации, согласно которому в случае неисполнения должником обязательства кредитор вправе требовать по суду исполнения обязательства в натуре, если иное не предусмотрено данным Кодексом, иными законами или договором либо не вытекает из существа обязательства; суд по требованию кредитора вправе присудить в его пользу денежную сумму (пункт 1 статьи 330 данного Кодекса) на случай неисполнения указанного судебного акта в размере, определяемом судом на основе 2 принципов справедливости, соразмерности и недопустимости извлечения выгоды из незаконного или недобросовестного поведения (пункт 4 статьи 1 данного Кодекса). Из представленных материалов следует, что определением суда первой инстанции от 4 октября 2021 года, оставленным без изменения постановлением суда апелляционной инстанции от 28 февраля 2022 года, требование о взыскании с Общества судебной неустойки за неисполнение решения суда о возложении обязанности предоставить копии документов, заверенных надлежащим образом, удовлетворено частично. Как указал суд апелляционной инстанции, ссылка Общества на то, что предоставление не переданных документов невозможно ввиду их отсутствия у Общества, подлежит отклонению, поскольку при рассмотрении спора по существу оно не отрицало факта существования каких-либо документов из списка истца. Кроме того, определением суда первой инстанции от 15 октября 2021 года, оставленным без изменения постановлением суда апелляционной инстанции от 25 февраля 2022 года, Обществу отказано в удовлетворении заявления о прекращении исполнительного производства. Определением суда первой инстанции от 27 апреля 2022 года ему отказано и в удовлетворении повторного заявления о прекращении исполнительного производства. По мнению заявителя, оспариваемая норма не соответствует статьям 2, 18, 35, 45, 46 и 55 Конституции Российской Федерации, поскольку по смыслу, придаваемому ей правоприменительной практикой, позволяет суду взыскивать судебную неустойку с даты вступления судебного акта в законную силу, когда данный акт еще фактически неисполним, а также не ограничивает размер взыскания в пользу злоупотребляющего правом истца с лица, вина которого в неисполнении судебного акта отсутствует.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представленные судебные решения не подтверждают факта исчерпания акционерным обществом «Строительно-монтажное управление – 5» внутригосударственных средств судебной защиты его прав при разрешении дела с его участием.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«Строительно-монтажное управление – 5»,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