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статьями 3892 и 4013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возвращена без рассмотрения жалоба гражданина Э.А.Гусейнова на постановление районного суда об отказе в принятии к рассмотрению поданной в порядке статьи 125 УПК Российской Федерации жалобы на постановление следователя, которым отказано в применении мер государственной защиты к заявителю. Судья указал, что, поскольку уголовное дело Э.А.Гусейнова находится на рассмотрении по существу, проверка законности действий должностных лиц может состояться только одновременно с проверкой законности приговора как итогового решения по делу. 2 В этой связи заявитель оспаривает соответствие статей 3892 «Судебные решения, подлежащие апелляционному обжалованию» и 4013 «Порядок и сроки подачи кассационных жалобы, представления, порядок восстановления срока кассационного обжалования» УПК Российской Федерации статьям 17 (часть 1), 46 (части 1 и 2), 49 (часть 1), 55 (часть 2), 125 (пункт «а» части 4 и 6), 126 и 128 (часть 3) Конституции Российской Федерации. Как утверждается в жалобе, данные нормы, допуская возвращение кассационной жалобы без рассмотрения, исключают возможность отмены в кассационном порядке незаконных судебных актов, принятых на досудебной стадии производства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