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795393-О/2024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Беджаняна Геннадия Сергеевича на нарушение его конституционных прав частью третьей статьи 208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Г.С.Беджаняна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в конкурсную массу гражданина Г.С.Беджаняна взысканы денежные средства в иностранной валюте в рублях по курсу Центрального банка Российской Федерации на день исполнения решения суда. Поданное впоследствии заявление Г.С.Беджаняна в лице финансового управляющего об индексации присужденных денежных сумм было удовлетворено судом, с чем не согласился суд апелляционной инстанции, отказав в индексации. Судьи судов кассационной инстанции, в том числе Верховного Суда Российской Федерации, поддержали выводы суда апелляционной инстанции. 2 В связи с этим Г.С.Беджанян оспаривает конституционность части третьей статьи 208 «Индексация присужденных денежных сумм» ГПК Российской Федерации, поскольку применение этой нормы, по смыслу, придаваемому ей правоприменительной практикой, поставлено в зависимость от денежной единицы, в которой выражен долг, взысканный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Беджаняна Геннадия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