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555072-П/2021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4014 и пунктом 1 части второй статьи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20 января 2021 года гражданину Э.А.Гусейнову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по вопросу об обжаловании действий следователя в порядке статьи 125 УПК Российской Федерации. Письмом судьи этого же суда от 12 мая 2021 года возвращена без рассмотрения жалоба на данное постановление ввиду ее несоответствия требованиям статьи 4014 УПК Российской Федерации; кроме того, разъяснено, что копия кассационной жалобы и копии обжалуемых судебных 2 постановлений остаются в суде кассационной инстанции, а также возможность повторного направления кассационной жалобы после ее надлежащего оформления. В этой связи заявитель оспаривает соответствие статьи 4014 «Содержание кассационной жалобы, представления» и пункта 1 части второй статьи 40110 «Действия суда кассационной инстанции при поступлении кассационных жалобы, представления» УПК Российской Федерации статьям 18, 21, 46, 81, 123, 126 и 128 Конституции Российской Федерации. По мнению заявителя, данные нормы позволяют суду кассационной инстанции не возвращать заверенные судом копии обжалуемых судебных решений, приложенные к кассационной жалобе, и допускают возвращение кассационной жалобы без рассмотрения по основанию несоответствия требованиям, предъявляемым к ее содержанию.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Определениями от 17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