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581783-П/2021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«ПРОТОМ» на нарушение его конституционных прав пунктами 1 и 2 статьи 613, а также пунктами 4–7 статьи 18940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закрытого акционерного общества «ПРОТОМ»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банка и оставленным в силе постановлением суда кассационной инстанции, было удовлетворено заявление конкурсного управляющего банка об оспаривании сделок должника, признаны недействительными сделками операции по перечислению денежных средств со счетов закрытого акционерного общества (далее также – ЗАО «ПРОТОМ»), открытых в банке, применены последствия недействительности сделки. Определением судьи Верховного 2 Суда Российской Федерации ЗАО «ПРОТОМ»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Впоследствии определением арбитражного суда, вынесенным в рамках того же дела о банкротстве и оставленным без изменения постановлениями судов апелляционной и кассационной инстанций, было отказано в удовлетворении заявления данного общества о пересмотре по вновь открывшимся обстоятельствам названного определения арбитражного суда, принятого по заявлению конкурсного управляющего. ЗАО «ПРОТОМ» оспаривает конституционность пунктов 1 и 2 статьи 613 «Оспаривание сделок должника, влекущих за собой оказание предпочтения одному из кредиторов перед другими кредиторами», а также пунктов 4–7 статьи 18940 «Особенности признания недействительными сделок кредитной организации» Федерального закона от 26 октября 2002 года № 127-ФЗ «О несостоятельности (банкротстве)». По мнению заявителя, данные положения противоречат статьям 8, 15 (часть 4), 17 (части 1 и 3), 19 (часть 1), 34, 35 (части 1–3), 46, 55 (часть 3) и 123 (часть 3) Конституции Российской Федерации в той части, в какой они в системе действующего правового регулирования по смыслу, придаваемому им правоприменительной практикой, предоставляют право судам давать противоречивую оценку одним и тем же обстоятельствам дела и применяемым нормам закона, допуская возможность признавать недействительными сделки по перечислению юридическими лицами денежных средств со своих расчетных счетов на счета в других кредитных организациях в деле о банкротстве банка, совершенных в один день и через один корреспондентский счет данной кредитной организации, либо при этих же обстоятельствах не признавать такие сделки недействительными, что приводит к вынесению противоречивых судебных актов, основанных на одной и той же норме права.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Как следует из представленных материалов, с момента завершения рассмотрения дела с участием заявителя, в котором судом были применены оспариваемые положения статей 613 и 18940 Федерального закона «О несостоятельности (банкротстве)», и до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«ПРОТОМ»,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