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759398-О/2024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Кудиновой Елены Алексеевны на нарушение ее конституционных прав частью второй статьи 56 и частью третьей статьи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Е.А.Кудиновой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Е.А.Кудинова оспаривает конституционность части второй статьи 56 «Обязанность доказывания» и части третьей статьи 196 «Вопросы, разрешаемые при принятии решения суда» ГПК Российской Федерации. Как следует из представленных материалов, решением суда общей юрисдикции с учетом апелляционного определения частично удовлетворены вытекающие из трудового спора исковые требования Е.А.Кудиновой к юридическому лицу, с чем согласился кассационный суд общей юрисдикции. 2 Определением судьи Верховного Суда Российской Федерации, с которым согласился заместитель Председателя этого суда,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Е.А.Кудиновой, оспариваемые законоположения по смыслу, придаваемому им в системе действующего правового регулирования правоприменительной практикой, противоречат статьям 19 (часть 1), 46 (часть 1) и 123 (часть 3) Конституции Российской Федерации, поскольку предоставляют суду ничем не ограниченное право возлагать на работника бремя доказывания невозможности присутствия на рабочем месте и отсутствия возможности трудиться по вине работодателя, а также позволяют суду разрешать требование, которое не заявлялось истцом.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56 ГПК Российской Федерации, предписывающая суду определить, какие обстоятельства имеют значение для дела, какой стороне надлежит их доказывать, вынести обстоятельства на обсуждение, даже если стороны на какие-либо из них не ссылались, действует с учетом предписания части первой этой статьи, согласно которому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Данное правовое регулирование не предполагает возможности произвольного распределения судом бремени доказывания и составляет процессуальную гарантию реализации конституционного права на судебную защиту в условиях действия принципа состязательности сторон. Что касается части третьей статьи 196 ГПК Российской Федерации, то она прямо обязывает суд принять решение именно по заявленным истцом требованиям и допускает возможность выйти за пределы заявленных 3 требований только в случаях, предусмотренных федеральным законом. Такое нормативное регулирование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правоотношения, имеющих возможность с помощью суда распоряжаться своими процессуальными правами, а также спорным материальным правом. Таким образом, оспариваемые законоположения не могут рассматриваться как нарушающие конституционные права заявительницы, перечисленные в жалобе. Оценка же правомерности принятых по делу с участием Е.А.Кудиновой судебных постановлений, в том числе в части правильности распределения судом обязанности доказывания определенных фактов,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Кудиновой Елены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