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675017-П/2023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Игумновой Наталии Анатольевны на нарушение ее конституционных прав пунктом 1 статьи 15 и статьей 1072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Н.А.Игумновой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Н.А.Игумнова оспаривает конституционность пункта 1 статьи 15 «Возмещение убытков» и статьи 1072 «Возмещение вреда лицом, застраховавшим свою ответственность» ГК Российской Федерации. Как следует из представленных материалов, решением мирового судьи, с которым согласились вышестоящие суды, исковые требования Н.А.Игумновой к гражданину С. о возмещении ущерба, причиненного в результате дорожно-транспортного происшествия, удовлетворены частично. Размер ущерба был определен на основании выводов судебной экспертизы о 2 полной стоимости восстановительного ремонта автомобиля без учета его износа. По мнению Н.А.Игумновой, оспариваемые нормы противоречат Конституции Российской Федерации, поскольку по смыслу, приданному им правоприменительной практикой, позволяют в отношениях между потерпевшим и причинителем вреда рассматривать в качестве более разумного и распространенного способа исправления поврежденного транспортного средства проведение его восстановительного ремонта, стоимость которого определена в соответствии с Единой методикой определения размера расходов на восстановительный ремонт в отношении поврежденного транспортного средства, утвержденной Банком России.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10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Игумновой Наталии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