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574521-П/2021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Зарубина Бориса Витальевича на нарушение его конституционных прав частью второй статьи 49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Б.В.Зарубина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Б.В.Зарубин оспаривает конституционность части второй статьи 49 «Лица, которые могут быть представителями в суде» ГПК Российской Федерации. Как следует из представленных материалов, Б.В.Зарубину, интересы которого в суде первой инстанции представляли гражданка М. и гражданка Х., было отказано в удовлетворении исковых требований к ряду ответчиков. Апелляционным определением, вынесенным по результатам рассмотрения апелляционной жалобы, которую подписала представитель заявителя М., решение суда первой инстанции было оставлено без 2 изменения. С этим определением согласился кассационный суд общей юрисдикции. По мнению заявителя, оспариваемое законоположение нарушает его конституционные права, в том числе гарантированные статьями 2 и 55 Конституции Российской Федерации, поскольку не позволяет гражданину самому выбирать представителя для защиты своих интересов во всех предусмотренных судебной системой Российской Федерации судах, в том числе в судах апелляционной и кассационной инстанций.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Зарубина Бориса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