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Коссова Михаила Александровича на нарушение его конституционных прав пунктом 2 статьи 597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М.А.Коссова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М.А.Коссов оспаривает конституционность пункта 2 статьи 597 ГК Российской Федерации о размере пожизненной ренты, установленном договором пожизненной ренты, предусматривающим отчуждение имущества бесплатно. Как следует из представленных материалов, гражданка Г. (получатель ренты), правопреемником которой является заявитель, обратилась в суд с иском о расторжении договора пожизненной ренты. Требование было мотивировано тем, что у плательщика ренты образовалась задолженность, так как выплачиваемый им размер пожизненной ренты не соответствует требованиям закона и условиям договора. Апелляционным определением 2 суда апелляционной инстанции, оставленным без изменения судами вышестоящих инстанций, в удовлетворении иска отказано. Суды исходили из того, что согласно условиям договора, по которому жилое помещение передано в собственность плательщика ренты за плату, плательщик ренты обязан выплачивать получателю ренты денежную сумму в размере, кратном минимальному размеру оплаты труда, установленному в целях исчисления платежей по гражданско-правовым обязательствам (часть вторая статьи 5 Федерального закона от 19 июня 2000 года № 82-ФЗ «О минимальном размере оплаты труда»). По мнению М.А.Коссова, оспариваемая норма противоречит статьям 1 (часть 1), 2, 7, 17 (часть 1), 18, 19 (часть 1), 20 (часть 1), 35 (часть 2), 45 (часть 1), 46 (часть 1), 54 (часть 1) и 55 Конституции Российской Федерации, а также пункту 1 статьи 25 Всеобщей декларации прав человека, поскольку, допуская возможность дифференцированного исчисления размера ежемесячных выплат по договору пожизненной ренты в зависимости от того, передано имущество под выплату ренты бесплатно или за плату, она создает неравенство между получателями ренты.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597 ГК Российской Федерации, предусматривая дополнительные гарантии защиты прав получателя пожизненной ренты, имущество которого под выплату ренты было отчуждено бесплатно, сам по себе не может рассматриваться в качестве нарушающего конституционный принцип равенства, который, как указывал Конституционный Суд Российской Федерации, не исключает возможность установления дифференцированного режима для различных категорий лиц, если такая дифференциация обусловлена объективными факторами и не носит произвольного, дискриминирующего характера (Постановление от 27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Коссова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