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769065-О/2024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Салтыковой Галины Васильевны на нарушение ее конституционных прав пунктом 21 части 1 статьи 17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Г.В.Салтыковой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Г.В.Салтыкова оспаривает конституционность пункта 21 части 1 статьи 17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устанавливающего, что к исключительной компетенции общего собрания членов садоводческого или огороднического товарищества относится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данного Федерального закона. 2 Как следует из представленных материалов, решением суда общей юрисдикции, оставленным без изменения определением суда апелляционной инстанции, Г.В.Салтыковой отказано в удовлетворении требования о признании недействительным решения общего собрания садоводческого некоммерческого товарищества об установлении целевого взноса на реконструкцию электросети. Суд апелляционной инстанции указал, что общее собрание приняло решение большинством голосов, действуя в пределах своих полномочий.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не содержащее указания, на что должно быть направлено расходование целевых взносов, противоречит статьям 18, 35 (части 1 и 2) и 46 (часть 1) Конституции Российской Федерации, поскольку оно по смыслу, придаваемому ему правоприменительной практикой, не позволяет обеспечить правосудие и защиту прав и свобод граждан, включая охрану законом их права частной собственности.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Салтыковой Галины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