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561008-П/2021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Некрасовой Натальи Геннадьевны на нарушение ее конституционных прав Постановлением Правительства Российской Федерации «Об установлении тождественности профессиональной деятельности, выполняемой после изменения организационно- правовой формы и (или) наименования учреждений (организаций), профессиональной деятельности, выполнявшейся до такого изменения, в целях досрочного пенсионного обеспечения по старости»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гражданки Н.Г.Некрасовой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Н.Г.Некрасова оспаривает Постановление Правительства Российской Федерации от 28 августа 2014 года № 869 «Об установлении тождественности профессиональной деятельности, выполняемой после изменения организационно-правовой формы и (или) наименования учреждений (организаций), профессиональной деятельности, выполнявшейся до такого изменения, в целях досрочного пенсионного обеспечения по 2 старости», согласно которому Министерство труда и социальной защиты Российской Федерации наделено полномочием устанавливать по представлению федеральных органов исполнительной власти и по согласованию с Пенсионным фондом Российской Федерации в случае изменения организационно-правовой формы и (или) наименования учреждений (организаций), предусмотренных подпунктами 19–21 пункта 1 статьи 27 Федерального закона от 17 декабря 2001 года № 173-ФЗ «О трудовых пенсиях в Российской Федерации», а с 1 января 2015 года – предусмотренных пунктами 19–21 части 1 статьи 30 Федерального закона от 28 декабря 2013 года № 400-ФЗ «О страховых пенсиях», при сохранении в них прежнего характера профессиональной деятельности устанавливать тождественность профессиональной деятельности, выполняемой после изменения организационно-правовой формы и (или) наименования соответствующего учреждения (организации), профессиональной деятельности, выполнявшейся до такого изменения, в целях досрочного пенсионного обеспечения по старости. По мнению Н.Г.Некрасовой, оспариваемый нормативный правовой акт, примененный в ее деле судами общей юрисдикции, не соответствует Конституции Российской Федерации, поскольку из-за неопределенности его содержания не допускает возможности установления тождественности профессиональной деятельности, выполняемой после изменения организационно-правовой формы организации, профессиональной деятельности, выполнявшейся до такого изменения, чем ограничивает право на досрочное пенсионное обеспечение.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3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Некрасовой Натальи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