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616454-П/2022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положений Уголовно- процессуального кодекса Российской Федерации и частью первой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16 ноября 2021 года, с которым в письме от 11 апреля 2022 года согласился заместитель Председателя этого суда, гражданину Э.А.Гусейнову отказано в передаче для рассмотрения в судебном заседании суда кассационной инстанции жалобы на решения судов первой и апелляционной инстанций по вопросу о продлении срока содержания под стражей. Заявитель просит признать не соответствующими статьям 2, 3 (части 1 и 2), 4 (часть 1), 15 (часть 1), 21 (часть 1), 46 (часть 1), 64, 71 (пункт «о»), 118 2 (часть 1), 125 (пункт «а» части 4), 126 и 128 (часть 3) Конституции Российской Федерации часть третью статьи 255 «Решение вопроса о мере пресечения», статьи 38928 «Апелляционные приговор, определение и постановление», 4013 «Порядок и сроки подачи кассационных жалобы, представления, порядок восстановления срока кассационного обжалования», 40110 «Действия суда кассационной инстанции при поступлении кассационных жалобы, представления»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Федерации, а также часть первую статьи 79 «Юридическая сила решения» Федерального конституционного закона от 21 июля 1994 года № 1-ФКЗ «О Конституционном Суде Российской Федерации». По утверждению Э.А.Гусейнова, данные нормы исключают эффективную защиту конституционных прав и свобод человека и гражданина, допуская принятие правоприменительных решений, ограничивающих эти права и свободы.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