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Панина Владимира Юрьевича на нарушение его конституционных прав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В.Ю.Панина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13 апреля 2021 года, с которым, в свою очередь, согласился заместитель Председателя этого суда (письмо от 11 июня 2021 года), ввиду отсутствия существенных нарушений закона, повлиявших на исход дела, отказано в передаче для рассмотрения в судебном заседании суда надзорной инстанции жалоб гражданина В.Ю.Панина о пересмотре вынесенных в его отношении судебных решений. В данной связи заявитель просит признать не соответствующей статьям 2, 17 (части 1 и 2), 18, 45 (часть 1), 49 (часть 3) и 50 (часть 2) Конституции Российской Федерации часть первую статьи 4129 «Основания отмены или 2 изменения судебных решений в порядке надзора» УПК Российской Федерации в той мере, в какой данная норма по смыслу, придаваемому ей правоприменительной практикой, признает в качестве оснований для пересмотра оспариваемых судебных решений в порядке надзора не любые, а только существенные нарушения закона, повлиявшие на исход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правовой позиции, выраженной в Постановлении Конституционного Суда Российской Федерации от 11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Панина Владимира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