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591918-П/2022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Ларина Евгения Анатольевича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Е.А.Ларина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ноября 2021 года ввиду отсутствия существенных нарушений закона, повлиявших на исход дела, гражданину Е.А.Ларину отказано в передаче для рассмотрения в судебном заседании суда кассационной инстанции жалобы на вынесенные в его отношении приговор и последующие судебные решения. Заявитель просит признать не соответствующей статьям 2, 19 и 46 Конституции Российской Федерации часть первую статьи 40115 УПК Российской Федерации в той мере, в какой данная норма, по его утверждению, в силу недостаточной определенности понятия «существенные нарушения уголовно-процессуального закона, повлиявшие на исход дела» не обеспечивает признание незаконным обвинительного приговора, 2 постановленного без строгого соблюдения установленных правил доказывания.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т.е., в частности, на вывод о виновности, на юридическую оценку содеянного, на назначение судом наказания или применение иных мер уголовно-правового характера и на решение по гражданскому иску (пункт 17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инстанции»). Как неоднократно отмечал Конституционный Суд Российской Федерации, эта норма какой-либо неопределенности не содержит и отвечает назначению и месту кассационного производства как дополнительного способа защиты прав участников уголовного процесса (определения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