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658501-П/2022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Зудова Юрия Михайловича на нарушение его конституционных прав пунктом 3 статьи 433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Ю.М.Зудова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Ю.М.Зудов, которому принадлежит доля в праве собственности на жилое помещение, оспаривает конституционность пункта 3 (в жалобе ошибочно упомянутого как часть 3) статьи 433 ГК Российской Федерации, согласно которому договор, подлежащий государственной регистрации, считается для третьих лиц заключенным с момента его регистрации, если иное не установлено законом. Как следует из представленных материалов, Ю.М.Зудов в качестве третьего лица, заявляющего самостоятельные требования относительно предмета спора, участвовал в деле по иску прокурора к ряду лиц о прекращении использования жилых помещений не по назначению и о 2 взыскании судебных расходов. Суд апелляционной инстанции (с учетом дополнительного апелляционного определения, принятого по инициативе суда) обязал ответчиков прекратить использование принадлежащих им жилых помещений не по назначению (осуществление деятельности по оказанию гостиничных услуг), а в случае неисполнения решения суда в этой части постановил взыскивать с ответчиков в пользу Ю.М.Зудова судебную неустойку. Апелляционным определением этого же суда, с которым согласились вышестоящие суды, Ю.М.Зудову отказано в вынесении дополнительного апелляционного определения. Кроме того, постановлением суда первой инстанции, с которым согласились вышестоящие суды, частично удовлетворены требования Ю.М.Зудова, предъявленные в том числе к гражданке Р., связанные с устранением нарушения прав собственника и взысканием денежных средств. По мнению заявителя, оспариваемое законоположение противоречит Конституции Российской Федерации, ее статьям 19 (часть 1), 46 (часть 1) и 50 (часть 2), поскольку допускает его произвольное толкование и применение, что влечет в том числе принятие судебных постановлений на основе доказательств, полученных с нарушением закона, на основании соглашений о расторжении договора, не прошедших государственную регистрацию, и нарушает права третьих лиц, не участвующих в сделке.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3 статьи 433 ГК Российской Федерации направлен на обеспечение баланса интересов сторон договора, подлежащего государственной регистрации, и стабильности гражданского оборота (определения Конституционного Суда Российской Федерации от 25 сентября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Зудова Юрия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