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733454-О/2023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Кривенцова Валерия Ивановича на нарушение его конституционных прав частью первой статьи 44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В.И.Кривенцова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В.И.Кривенцов оспаривает конституционность части первой статьи 44 «Процессуальное правопреемство» ГПК Российской Федерации. Как следует из представленных материалов, определением мирового судьи, оставленным без изменения судами апелляционной и кассационной инстанций, отказано в удовлетворении заявления индивидуального предпринимателя В.И.Кривенцова о процессуальном правопреемстве по делу, в рамках которого в пользу юридического лица (страховой компании) в порядке регресса была взыскана сумма страховой выплаты с гражданина К., право требования дебиторской задолженности которого В.И.Кривенцов 2 приобрел на основании договора уступки прав (требований). При этом мировой судья исходил из того, что исполнительное производство по данному делу было окончено в связи с полным погашением К. имевшейся у него перед страховой компанией задолженности. По мнению заявителя, оспариваемое законоположение противоречит Конституции Российской Федерации, ее статьям 19 (части 1 и 2) и 55 (части 2 и 3), поскольку не позволяет осуществить правопреемство в гражданском деле после окончания исполнительного производства, возбужденного на основании решения суда, вынесенного по этому делу.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отметил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Кривенцова Валерия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