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Фахретдинова Рустема Рифовича на нарушение его конституционных прав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Р.Р.Фахретдинова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12 мая 2022 года (с которым согласился заместитель Председателя этого суда – письмо от 28 июня 2022 года) ввиду отсутствия существенных нарушений закона, повлиявших на исход дела, гражданину Р.Р.Фахретдинову отказано в передаче для рассмотрения в судебном заседании суда кассационной инстанции жалобы на вынесенные в его отношении приговор и последующие судебные решения. Заявитель просит признать не соответствующей Конституции Российской Федерации статью 40115 УПК Российской Федерации в той мере, 2 в какой данная норма, по его утверждению, не обеспечивает признание незаконным обвинительного приговора, которым лицо повторно привлечено к ответственности за одно и то же деяние, и препятствует тем самым прямому действию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т.е., в частности, на вывод о виновности, на юридическую оценку содеянного, на назначение судом наказания или применение иных мер уголовно-правового характера и на решение по гражданскому иску (пункт 17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инстанции»). Как неоднократно отмечал Конституционный Суд Российской Федерации, эта норма какой-либо неопределенности не содержит и отвечает назначению и месту кассационного производства как дополнительного способа защиты прав участников уголовного процесса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Фахретдинова Рустема Рифовича,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