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Крутько Елены Викторовны на нарушение ее конституционных прав частью 1 статьи 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Е.В.Крутько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Е.В.Крутько оспаривает конституционность части 1 статьи 31 Жилищного кодекса Российской Федерации, устанавливающей, что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собственника;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 Как следует из представленных материалов, решением суда общей юрисдикции, оставленным без изменения определением суда апелляционной 2 инстанции, исковые требования собственника жилого помещения к Е.В.Крутько и трем ее несовершеннолетним детям о признании утратившими право пользования жилым помещением, выселении удовлетворены.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часть 1 статьи 31 Жилищного кодекса Российской Федерации противоречит Конституции Российской Федерации, ее статьям 19 (часть 1), 35 (части 1 и 2), 38 (часть 1) и 40 (часть 1), поскольку она в силу дефекта юридической техники противоречит семейному законодательству, а также позволяет суду произвольно лишать членов семьи собственника жилого помещения защиты жилищных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Крутько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