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554865-П/2021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Кутузова Михаила Викторовича на нарушение его конституционных прав абзацем восьмым статьи 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М.В.Кутузова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общества с ограниченной ответственностью и оставленным без изменения постановлением суда кассационной инстанции, было отменено определение арбитражного суда первой инстанции и отказано в удовлетворении заявления гражданина М.В.Кутузова о взыскании солидарно с ряда акционерных обществ убытков в пользу должника. При этом суды исходили, в частности, из того, что М.В.Кутузов не является конкурсным кредитором должника и в рамках дела о банкротстве последнего действует на правах его участника, не получившего выплату действительной стоимости доли и требующего возмещения убытков с виновных в этом контролирующих должника лиц. 2 М.В.Кутузов оспаривает конституционность абзаца восьмого статьи 2 Федерального закона от 26 октября 2002 года № 127-ФЗ «О несостоятельности (банкротстве)», определяющего понятие конкурсных кредиторов. По мнению заявителя, данное законоположение противоречит статьям 19 и 35 (часть 2) Конституции Российской Федерации, поскольку оно не устанавливает порядок и очередность удовлетворения требований лиц, чьи требования вытекают из участия в уставном капитале должника, и, таким образом, ставит этих лиц в худшее положение по отношению к другим контролирующим должника лицам, заключившим с должником гражданско- правовой договор.</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абзацем восьмым статьи 2 Федерального закона «О несостоятельности (банкротстве)» конкурсными кредиторами являются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имеет обязательства по выплате компенсации сверх возмещения вреда, предусмотренной Градостроительным кодексом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конкурсным кредитором, действующим в интересах участников синдиката кредиторов, признается кредитный управляющий, действующий в порядке, предусмотренном главой X1 данного Федерального закона. 3 Данная норма, исключающая из числа конкурсных кредиторов учредителей (участников) должника по обязательствам, вытекающим из такого участия, поскольку характер этих обязательств непосредственно связан с ответственностью указанных лиц за деятельность общества, сама по себе не может рассматриваться как нарушающая конституционные права и свободы заявителя, требование которого к должнику, как было установлено арбитражными судами, носит корпоративный характер. Внесение же изменений и дополнений в законодательство не относится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Кутузова Михаила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