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734121-О/2023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Владимира Михайловича на нарушение его конституционных прав пунктами 1 и 2 статьи 408 Гражданского кодекса Российской Федерации во взаимосвязи с пунктом 1 статьи 1102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В.М.Тихонова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В.М.Тихонов оспаривает конституционность пунктов 1 и 2 статьи 408 «Прекращение обязательства исполнением» ГК Российской Федерации в их взаимосвязи с пунктом 1 статьи 1102 «Обязанность возвратить неосновательное обогащение» того же Кодекса. Как следует из представленных материалов, определением суда апелляционной инстанции, с которым согласились суды кассационной инстанции, в удовлетворении требования заявителя о взыскании неосновательного обогащения отказано. В обоснование иска среди прочего было указано, что ответчик на основании доверенности совершил сделку по 2 отчуждению имущества истца, однако денежных средств, полученных по договору купли-продажи этого имущества, истцу не передал. Суд апелляционной инстанции на основе представленных сторонами спора доказательств исходил из того, что обязательство о передаче денежных средств, вырученных от продажи имущества истца, ответчиком исполнено, о чем свидетельствует подписанная истцом расписка о получении денежных средств, а также что выдача расписки позднее даты отчуждения имущества не позволяет сделать вывод о ее недействительности. По мнению В.М.Тихонова, оспариваемые нормы во взаимосвязи не соответствуют статьям 17 (часть 3) и 37 (части 1 и 2) Конституции Российской Федерации, поскольку они позволяют подтверждать исполнение обязательства распиской, изготовленной должником и подписанной кредитором не в день ее составления, а позднее, притом что подпись кредитора не является органично встроенной в текст расписки, а даты составления расписки, ее подписания и фактической передачи денежных средств не совпадают.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408 ГК Российской Федерации направлены в том числе на обеспечение определенности в правоотношениях между кредитором и должником, а пункт 1 статьи 1102 этого Кодекса, закрепляющий правовые последствия неосновательного обогащения, призван обеспечить защиту и восстановление имущественных прав участников гражданского оборота. Данные положения как сами по себе, так и во взаимосвязи не нарушают конституционных прав заявителя в обозначенном в жалобе аспекте. Установление же и исследование фактических обстоятельств конкретного дела (в частности, связанных с подписанием расписки кредитором), а также проверка правильности применения правовых норм с учетом указанных обстоятельств, на что, по существу, направлены доводы 3 заявителя,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