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730557-П/2023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Шелепова Олега Владимировича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О.В.Шелепова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того же суда (письмо от 15 декабря 2022 года),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отбывающего наказание в виде пожизненного лишения свободы гражданина О.В.Шелепова на вынесенное в 2006 году постановление Президиума Верховного Суда Российской Федерации, отменившее решение суда второй (кассационной) инстанции в 2 отношении заявителя с направлением дела на новое кассационное рассмотрение. В этой связи О.В.Шелепов просит признать противоречащей статьям 15 (части 1 и 2), 17 (часть 1), 19, 45, 46 (часть 1), 48 и 123 (части 2 и 3) Конституции Российской Федерации часть первую статьи 4129 «Основания отмены или изменения судебных решений в порядке надзора» УПК Российской Федерации, утверждая, что данная норма вследствие своей неконкретизированности и неопределенности позволяет судье суда надзорной инстанции не признавать в качестве существенных и повлиявших на исход уголовного дела нарушения конституционных принципов состязательности и равноправия сторон, права осужденного на защиту и на очное рассмотрение дела с уведомлением о дате, времени и месте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Шелепова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