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696345-П/2023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Рудникова Вячеслава Алексеевича на нарушение его конституционных прав статьей 179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В.А.Рудникова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В.А.Рудников оспаривает конституционность статьи 179 «Недействительность сделки, совершенной под влиянием обмана, насилия, угрозы или неблагоприятных обстоятельств» ГК Российской Федерации. Как следует из представленных материалов, решением арбитражного суда, оставленным без изменения постановлением суда апелляционной инстанции, в удовлетворении встречного иска В.А.Рудникова о признании недействительным предварительного договора купли-продажи доли в уставном капитале общества с ограниченной ответственностью, как совершенного под влиянием обмана, насилия, угрозы и шантажа, отказано. Определением Судебной коллегии по экономическим спорам Верховного 2 Суда Российской Федерации указанные судебные акты и постановление суда кассационной инстанции, которым они оставлены без изменения, в части отказа в удовлетворении встречного иска В.А.Рудникова оставлены без изменения. По мнению заявителя, статья 179 ГК Российской Федерации противоречит Конституции Российской Федерации, ее статьям 45 и 46, поскольку по смыслу, придаваемому ей правоприменительной практикой, позволяет судам отказывать в удовлетворении исков о признании сделок недействительными со ссылкой на отсутствие вступившего в законную силу приговора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Рудникова Вячеслава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