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770943-О/2024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«Совместное предприятие Промышленно-энергетические технологии» на нарушение его конституционных прав частью 1 статьи 4 и пунктом 3 части 4 статьи 170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«Совместное предприятие Промышленно- энергетические технологии»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«Совместное предприятие Промышленно-энергетические технологии» (далее также – ООО «СП ПЭНТ») оспаривает конституционность части 1 статьи 4 «Право на обращение в арбитражный суд» и пункта 3 части 4 статьи 170 «Содержание решения» АПК Российской Федерации. Как следует из представленных материалов, решением арбитражного суда, оставленным без изменения судами вышестоящих инстанций, ООО 2 «СП ПЭНТ» отказано в удовлетворении искового требования к юридическому лицу о взыскании денежных средств.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суда кассационной инстанции. По мнению ООО «СП ПЭНТ», оспариваемые положения по смыслу, придаваемому им судебной практикой, противоречат Конституции Российской Федерации, ее статьям 18, 40 (часть 1), 46 (часть 1), 118 (части 1 и 2), 120 и 126, поскольку позволяют арбитражному суду не рассматривать спор по определенному истцом предмету и не приводить мотивов, по которым было отказано в применении конкретной нормы права, указанной истцом в обоснование своего требования.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4 АПК Российской Федерации, закрепляющая, помимо прочего, что заинтересованное лицо в порядке, установленном этим Кодексом, вправе обратиться в арбитражный суд за защитой своих нарушенных или оспариваемых прав и законных интересов, а равно и пункт 3 части 4 статьи 170 данного Кодекса, устанавливающий обязанность арбитражного суда указать в мотивировочной части решения законы и иные нормативные правовые акты, которыми он руководствовался при принятии решения, и мотивы, по которым не применил законы и иные нормативные правовые акты, на которые ссылались лица, участвующие в деле, выступают процессуальными гарантиями обеспечения реализации права на судебную защиту (статья 46 Конституции Российской Федерации). Данные нормы не предполагают их произвольного применения, в том числе в части определения предмета иска, что является прерогативой истца (часть 1 статьи 49 «Изменение основания или предмета иска, изменение размера исковых требований, отказ от иска, признание иска, мировое 3 соглашение», пункт 4 части 2 статьи 125 «Форма и содержание искового заявления» АПК Российской Федерации), и не могут расцениваться в качестве нарушающих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«Совместное предприятие Промышленно- энергетические технологии»,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