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745154-О/2024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Дейна Вадима Валерьевича на нарушение его конституционных прав частью первой статьи 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В.В.Дейна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гражданину В.В.Дейну, участвовавшему в экономическом споре в качестве третьего лица, и обществу с ограниченной ответственностью «Лес» (далее также – ООО «Лес», общество) отказано в передаче надзорных жалоб для рассмотрения в судебном заседании Президиума Верховного Суда Российской Федерации. В жалобах оспаривалось решение суда кассационной инстанции, которым оставлено в силе решение арбитражного суда об отказе в удовлетворении иска ООО «Лес» к органу местного самоуправления о возврате неосновательного обогащения. В обоснование иска среди прочего 2 было указано, что право требовать возврата неосновательного обогащения, возникшего, по мнению истца, у В.В.Дейна к муниципалитету в результате возмещения В.В.Дейном рыночной стоимости земельных участков во исполнение приговора суда с учетом решения арбитражного суда об изъятии в пользу муниципалитета из владения ООО «Лес» предмета похищенного, приобретено обществом на основании договора уступки требования (цессии). Отказывая в удовлетворении исковых требований, арбитражные суды исходили в том числе из того, что на стороне муниципалитета не возникло неосновательного обогащения, поскольку двойного взыскания с одного лица не имеется; материальный ущерб взыскан с осужденного В.В.Дейна по приговору суда в связи с причинением вреда преступлением, а земельные участки истребованы у их покупателей – иных лиц. В этой связи В.В.Дейн просит признать не соответствующей статьям 17 (часть 1), 19 и 35 (части 1 и 2) Конституции Российской Федерации часть первую статьи 44 «Гражданский истец» УПК Российской Федерации, которая в силу неопределенности позволяет судам общей юрисдикции и арбитражным судам по своему усмотрению устанавливать особый статус собственника в уголовном процессе и в арбитражном процессе, ограничивая права юридических и физических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44 УПК Российской Федерации устанавливает, что гражданским истцом является физическое или юридическое лицо, предъявившее требование о возмещении имущественного вреда, при наличии оснований полагать, что данный вред причинен ему непосредственно преступлением; решение о признании гражданским истцом оформляется определением суда или постановлением судьи, следователя, дознавателя; гражданский истец может предъявить гражданский иск и для имущественной компенсации морального вреда. 3 Данная норма не регламентирует отношения по возмещению вреда, причиненного преступлением, конкретизирует положения статей 46 и 52 Конституции Российской Федерации и не может расцениваться как нарушающая права заявителя указанным им образом.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Дейна Вадима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