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751653-О/2024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Науменко Владимира Ивановича на нарушение его конституционных прав статьей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В.И.Науменко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В.И.Науменко оспаривает конституционность статьи 390 «Полномочия кассационного суда общей юрисдикции» ГПК Российской Федерации. Как следует из представленных материалов, апелляционным определением суда апелляционной инстанции, оставленным без изменения кассационным судом общей юрисдикции, В.И.Науменко отказано в удовлетворении исковых требований к гражданке К. о взыскании неосновательного обогащения; встречные исковые требования о признании недействительным договора купли-продажи удовлетворены частично. 2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 По мнению В.И.Науменко, оспариваемое законоположение не соответствует статьям 8, 17 (часть 3), 18, 34 и 46 Конституции Российской Федерации, поскольку не наделяет суд кассационной инстанции полномочием оценивать приведенные в кассационной жалобе доводы о недобросовестном поведении участников судебного разбирательства, выразившемся в изъятии из материалов дела доказательств, которые могли бы иметь существенное значение для исхода дела.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390 ГПК Российской Федерации, находясь в системной связи с другими положениями главы 41 указанного Кодекса, регламентирующими производство в суде кассационной инстанции общей юрисдикции, предоставляют этому суду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позволяют ему непосредственно исследовать доказательства и устанавливать фактические обстоятельства дела, подменяя тем самым суды первой и второй инстанций, которые самостоятельно исследуют и оценивают доказательства, устанавливают фактические обстоятельства дела на основе принципов состязательности, равноправия сторон и непосредственности судебного разбирательства. Вместе с тем данная норма не препятствует кассационному суду общей юрисдикции проверить соблюдение нижестоящими судами требований закона, в том числе при оценке доводов кассационной жалобы о недобросовестных действиях стороны по изъятию из материалов дела доказательств, и при необходимости устранить допущенные нарушения в пределах предоставленных ему законом полномочий. 3 Таким образом, оспариваемое законоположение не может расцениваться в качестве нарушающего конституционные права заявителя, в том числе право на судебную защиту. Проверка же того, были ли судами в конкретном деле допущены процессуальные нарушения,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Науменко Владимира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