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1456-П/2021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статьей 125, частью второй статьи 145 и частью четвертой статьи 148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13 октября 2021 года гражданину Э.А.Гусейнову отказано в передаче для рассмотрения в судебном заседании суда кассационной инстанции жалобы на решение суда первой инстанции, отказавшего в удовлетворении поданной в порядке статьи 125 УПК Российской Федерации жалобы, и на решение суда апелляционной инстанции, согласившегося с этим. В этой связи заявитель оспаривает соответствие статьи 125 «Судебный порядок рассмотрения жалоб» во взаимосвязи с частью второй статьи 145 «Решения, принимаемые по результатам рассмотрения сообщения о 2 преступлении» и частью четвертой статьи 148 «Отказ в возбуждении уголовного дела» УПК Российской Федерации статьям 21 (часть 1), 22, 24 (часть 2), 45, 46 (части 1 и 2), 52, 71 (пункт «о») и 128 (часть 3) Конституции Российской Федерации. Как утверждает заявитель, оспариваемые нормы допустили отказ в удовлетворении судом его жалобы на бездействие должностных лиц следственного отдела, выразившееся в неуведомлении о решении, принятом по его заявлению о преступлении.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Определениями от 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