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Людмилы Александровны на нарушение ее конституционных прав пунктами 1 и 2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Л.А.Смирнова, с которой решением суда общей юрисдикции, оставленным без изменения судами вышестоящих инстанций, взысканы денежные средства в счет возмещения ущерба, причиненного заливом квартиры, оспаривает конституционность пунктов 1 и 2 статьи 1064 «Общие основания ответственности за причинение вреда» ГК Российской Федерации. По мнению заявительницы, оспариваемые нормы противоречат статьям 2, 17 (часть 1), 19 (часть 1), 45 (часть 1) и 46 (часть 1) Конституции Российской Федерации в той мере, в какой они по смыслу, придаваемому правоприменительной практикой, допускают возможность произвольного 2 возложения на гражданина, не являющегося ответственным за залив квартиры, обязанности возместить причиненный потерпевшему лицу ущерб. Кроме того, Л.А.Смирнова ставит иные вопросы, не связанные с проверкой конституционности нормативных правовых актов.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