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721241-О/2023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«Позитив Авто» на нарушение его конституционных прав статьей 393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«Позитив Авто»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«Позитив Авто» оспаривает конституционность статьи 393 Трудового кодекса Российской Федерации, согласно которой при обращении в суд с иском по требованиям, вытекающим из трудовых отношений, в том числе по поводу невыполнения либо ненадлежащего выполнения условий трудового договора, носящих гражданско-правовой характер, работники освобождаются от оплаты пошлин и судебных расходов. По мнению заявителя, данная норма не соответствует статьям 17 (часть 3), 19 (часть 1), 45 (часть 1), 46 (часть 1), 55 (части 2 и 3), 56 (часть 3), 751, 76 2 (часть 3) и 123 (часть 3) Конституции Российской Федерации, поскольку в системе действующего правового регулирования по смыслу, придаваемому правоприменительной практикой, ставит работодателя по сравнению с работником в заведомо неравное положение, не позволяя взыскать судебные расходы в случае подачи работником безосновательного иска при отсутствии доказательств нарушения его трудовых прав. Оспариваемая норма применена в деле заявителя судом общей юрисдикции.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«Позитив Авто»,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