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757737-О/2024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«Весна» на нарушение его конституционных прав пунктом 3 статьи 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«Весна»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«Весна» (далее также – ООО «Весна», общество) оспаривает конституционность пункта 3 статьи 2 «Отношения, регулируемые гражданским законодательством» ГК Российской Федерации. Решением арбитражного суда, оставленным без изменения судами вышестоящих инстанций, отказано в удовлетворении иска ООО «Весна» о взыскании с публично-правового образования убытков в виде процентов, рассчитанных по правилам статьи 395 ГК Российской Федерации. В обоснование требования заявитель указал, что он уплатил налог на имущество в соответствующий бюджет, притом что оснований для уплаты 2 этого налога не имелось, поскольку нормативный правовой акт в части упоминания принадлежащих ему объектов недвижимости, в отношении которых налоговая база определялась как кадастровая стоимость, позднее признан частично не действующим по административному иску общества. Суды, среди прочего, указали, что гражданско-правовое требование о возмещении убытков является ненадлежащим способом защиты прав ООО «Весна», поскольку направлено на обход принципа первичности зачета излишне уплаченного налога в счет недоимок по другим налогам, установленного законодательством о налогах и сборах. Определением судьи Верховного Суда Российской Федерации отказано в передаче кассационной жалобы ООО «Весна» для рассмотрения в судебном заседании суда кассационной инстанции. По мнению заявителя, оспариваемое положение не соответствует статьям 52 и 53 Конституции Российской Федерации, поскольку оно препятствует возмещению убытков, причиненных в результате издания государственным органом незаконного нормативного правового 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2 ГК Российской Федерации, согласно которому к имущественным отношениям, основанным на административном или ином властном подчинении одной стороны другой, в том числе к налоговым и другим финансовым и административным отношениям, гражданское законодательство не применяется, если иное не предусмотрено законодательством, не может рассматриваться как нарушающий конституционные права ООО «Весна», в удовлетворении иска которого арбитражные суды отказали в том числе ввиду недоказанности состава гражданского правонарушения. Установление же и исследование фактических обстоятельств конкретного дела, оценка доказательств, послуживших основаниями для применения в нем тех или иных норм права, не входят в компетенцию 3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«Весна»,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