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554411-П/2021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1 части первой статьи 27, статьями 125, 212 и 213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просит признать не соответствующими Конституции Российской Федерации, в частности ее статьям 18, 21, 22, 23 (часть 1), 24 (часть 2), 45, 46 (части 1 и 2), 48, 49, 50 (часть 2), 52, 53, 54 (часть 2), 55, 71 (пункты «в» и «о»), 125 (часть 6) и 126, пункт 1 части первой статьи 27 «Основания прекращения уголовного преследования», статьи 125 «Судебный порядок рассмотрения жалоб», 212 «Основания прекращения уголовного дела и уголовного преследования» и 213 «Постановление о прекращении уголовного дела и уголовного преследования» УПК Российской Федерации. 2 По мнению заявителя, оспариваемые нормы не гарантируют охрану процессуальных прав, свобод и законных интересов реабилитированных в процедуре осуществления судебной власти посредством уголовного судопроизводства, исключая тем самым определенность конституционно значимых ценностей, обусловливающих применение норм Уголовно- процессуального кодекса Российской Федерации при обеспечении прав и свобод человека и гражданина. Кроме того, Э.А.Гусейнов просит не считать годичный срок для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 (в редакции Федерального конституционного закона от 9 ноября 2020 года № 5-ФКЗ; годичный срок для подачи жалобы был установлен и в предшествующей редакции). Между тем из представленных материалов следует, что с момента завершения рассмотрения дела Э.А.Гусейнова в суде и до подачи настоящей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