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660676-П/2022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Камалихиной Галины Ивановны на нарушение ее конституционных прав положениями раздела III Правил организации коммерческого учета воды, сточных вод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гражданки Г.И.Камалихиной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Г.И.Камалихина оспаривает конституционность положений раздела III «Коммерческий учет воды расчетным способом» Правил организации коммерческого учета воды, сточных вод (утверждены Постановлением Правительства Российской Федерации от 4 сентября 2013 года № 776), а фактически – положений пункта 16 этих Правил, который определяет случаи применения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2 Как следует из представленных материалов, решением мирового судьи, оставленным без изменения апелляционным определением районного суда, удовлетворен иск ресурсоснабжающей организации к Г.И.Камалихиной о взыскании задолженности по договору на отпуск питьевой воды, прием и транспортировку сточных вод. Cуды применили расчетный способ коммерческого учета воды с использованием метода учета пропускной способности устройств и сооружений, используемых для присоединения к централизованным системам водоснабжения, указав, что Г.И.Камалихина не обеспечила своевременной поверки индивидуального прибора учета, который после истечения межповерочного интервала считается неисправным. Определением судьи кассационного суда общей юрисдикции кассационная жалоба заявительницы возвращена без рассмотрения по существу, как поданная за пределами срока обжалования. По мнению заявительницы, оспариваемые нормы противоречат статьям 19 (часть 1), 35 (части 1 и 2) и 46 (часть 1) Конституции Российской Федерации, поскольку они нарушают баланс интересов сторон договора водоснабжения и водоотведения, позволяя недобросовестным ресурсоснабжающим организациям взыскивать с абонента плату за потребление воды в объеме, определенном расчетным способом, при наличии у абонента исправного индивидуального прибора учета.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Содержащееся в пункте 16 Правил организации коммерческого учета воды, сточных вод правовое регулирование, принятое в соответствии с положениями статьи 20 Федерального закона от 7 декабря 2011 года № 416- ФЗ «О водоснабжении и водоотведении», направлено – с учетом особенностей данных отношений – на обеспечение баланса интересов сторон договоров водоснабжения и водоотведения в случае такого нарушения условий договора, как безучетное потребление коммунальных ресурсов (определения Конституционного Суда Российской Федерации от 26 октября 3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Камалихиной Галины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