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2578-П/2021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125 и пунктом 1 части второй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 августа 2021 года гражданину Э.А.Гусейнову отказано в передаче для рассмотрения в судебном заседании суда кассационной инстанции жалобы на решение суда первой инстанции, возвратившего поданную в порядке статьи 125 УПК Российской Федерации жалобу для устранения недостатков, и на решение суда апелляционной инстанции, согласившегося с этим. В этой связи заявитель оспаривает соответствие статьям 15 (части 1 и 2), 18, 21 (часть 1), 46 (части 1 и 2), 52, 71 (пункт «о»), 125 (часть 6) и 126 Конституции Российской Федерации статьи 125 «Судебный порядок 2 рассмотрения жалоб» УПК Российской Федерации, как допускающей принятие постановления о возвращении жалобы, и пункта 1 части второй статьи 40110 «Действия суда кассационной инстанции при поступлении кассационных жалобы, представления» того же Кодекса, как позволяющего не возвращать приложенные к кассационной жалобе документы.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