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789324-О/2024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Осламова Вячеслава Сергеевича на нарушение его конституционных прав пунктом 4 части первой статьи 23 Гражданского процессуального кодекса Российской Федерации и подпунктом 6 пункта 1 статьи 3 Федерального закона «О мировых судьях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В.С.Осламова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В.С.Осламов оспаривает конституционность пункта 4 части первой статьи 23 ГПК Российской Федерации, согласно которому мировой судья рассматривает в качестве суда первой инстанции дела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рублей, а также подпункта 6 пункта 1 статьи 3 Федерального закона от 17 декабря 1998 года № 188-ФЗ «О мировых судьях в Российской Федерации», закрепляющего аналогичное правило. 2 Как следует из представленных материалов, определением районного суда было оставлено без движения исковое заявление В.С.Осламова к Российской Федерации в лице Федеральной службы судебных приставов о взыскании убытков в размере 14 718,35 рублей. В связи с неустранением заявителем в установленный судом срок недостатков, послуживших основанием для оставления искового заявления без движения, исковое заявление возвращено. При этом в определении о возвращении искового заявления суд также указал на нарушение истцом правил подсудности. Суды апелляционной и кассационной инстанций, приняв во внимание размер заявленных требований, согласились с указанным выводом, разъяснив истцу его право на обращение к мировому судье по месту нахождения территориального органа Федеральной службы судебных приставов. Определением Верховного Суда Российской Федерации, с которым согласился заместитель Председателя этого суда, В.С.Осламову отказано в передаче его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оспариваемое правило подсудности противоречит статьям 19, 45–47 и 53 Конституции Российской Федерации в той мере, в какой служит основанием для произвольного отнесения дел по спорам о возмещении причиненных решениями, действиями (бездействием) должностного лица службы судебных приставов убытков, размер которых не превышает пятидесяти тысяч рублей, – притом что при рассмотрении таких дел имеется необходимость оценки законности указанных решений и действий (бездействия) – к компетенции мировых судей, в результате чего становится возможным изъятие данных дел из исключительной подсудности районного суда того судебного района, на территории которого исполняет свои обязанности соответствующее должностное лицо.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нормы не предполагают возможности их произвольного применения и не могут расцениваться в качестве нарушающих конституционные права В.С.Осламова, не лишенного возможности обратиться в суд в соответствии с подсудностью, определенной судами в его деле исходя из характера и размера его требования, притом что основанием для возвращения его искового заявления, как следует из представленных материалов, послужили также иные недостатки, в установленный судом срок не устраненные. Проверка же обоснованности выводов суда о подсудности конкретного дела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Осламова Вячеслава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