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785860-О/2024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«Риф-Сервис» на нарушение его конституционных прав частью третьей статьи 115, частями первой и пятой статьи 1151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«Риф-Сервис»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«Риф-Сервис» (далее также – ООО «Риф-Сервис»), чье имущество находится под арестом по уголовному делу, – притом что решением республиканского суда установлен факт чрезмерной длительности сохранения ареста и присуждена компенсация за нарушение права на уголовное судопроизводство в разумный срок, – просит признать не соответствующими статьям 17 (часть 1), 18, 19 (части 1 и 2), 34 (часть 1), 36 (часть 1), 46 (части 1 и 2) и 55 (часть 3) Конституции Российской Федерации часть третью статьи 115 «Наложение ареста на имущество», части первую и пятую статьи 1151 «Порядок 2 продления срока применения меры процессуального принуждения в виде наложения ареста на имущество» УПК Российской Федерации в той мере, в какой неопределенность их нормативного содержания не обеспечивает в правоприменительной практике их единообразного истолкования и применения, чем порождает возможность неоднозначного решения вопроса о запрете собственнику-предприятию использовать свое имущество, признанное вещественным доказательством, для осуществления предпринимательской и иной не запрещенной законом экономической деятельности.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ООО «Риф-Сервис» обращалось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«Риф-Сервис»,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