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769488-О/2024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Бабаева Руслана Сейлановича на нарушение его конституционных прав частью первой статьи 11, частью первой статьи 54 и частью первой статьи 268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Р.С.Бабаева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Р.С.Бабаев, осужденный и отбывающий наказание, оспаривает конституционность части первой статьи 11 «Охрана прав и свобод человека и гражданина в уголовном судопроизводстве», части первой статьи 54 «Гражданский ответчик» и части первой статьи 268 «Разъяснение потерпевшему, гражданскому истцу и гражданскому ответчику их прав» УПК Российской Федерации. Заявитель утверждает, что обжалуемые нормы позволили суду удовлетворить заявленные в отношении него потерпевшими гражданские иски, не привлекая его в качестве гражданского ответчика и не разъясняя соответствующих прав и обязанностей, что повлекло нарушение прав, 2 гарантированных статьями 19, 45, 46, 55 (часть 2) и 123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11 УПК Российской Федерации закрепляет принцип охраны прав и свобод человека и гражданина в уголовном судопроизводстве, в силу которого, в частности, суд, прокурор, следователь, дознаватель обязаны разъяснять участникам уголовного судопроизводства их права, обязанности и ответственность и обеспечивать возможность осуществления этих прав (часть первая). Конкретизацией данного принципа является положение статьи 268 того же Кодекса, предписывающее председательствующему по уголовному делу разъяснить потерпевшему, гражданскому истцу, их представителям, а также гражданскому ответчику и его представителю их права и ответственность в судебном разбирательстве, предусмотренные соответственно статьями 42, 44, 45, 54 и 55 УПК Российской Федерации (часть первая). Как следует из жалобы, не приводя правового обоснования неконституционности оспариваемых норм, Р.С.Бабаев ведет речь о нарушении содержащихся в них требований судами при рассмотрении его уголовного дела, чем, по существу, предлагает Конституционному Суду Российской Федерации дать оценку не нормативным положениям, а приговору и последующим судебным решениям. Однако установление нарушений уголовно-процессуального закона, допущенных в конкретном уголовном деле, и определение того, могут ли они послужить основаниями для отмены или изменения соответствующих судебных решений, требуют исследования фактических обстоятельств этого дела и выходят за рамки полномочий, которыми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Бабаева Руслана Сейлановича,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