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Савчук Оксаны Викторовны на нарушение ее конституционных прав статьями 201 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О.В.Савчук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О.В.Савчук оспаривает конституционность статей 201 «Дополнительное решение суда» и 333 «Порядок подачи и рассмотрения частной жалобы, представления прокурора»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заявительнице отказано в удовлетворении заявления о вынесении дополнительного решения суда. Определением судьи Верховного Суда Российской Федерации, с которым согласился заместитель Председателя этого суда (письмо от 22 сентября 2022 2 года), О.В.Савчук было отказано в передаче кассационной жалобы на эти судебные постановления для рассмотрения в судебном заседании Судебной коллегии по гражданским делам Верховного Суда Российской Федерации. По мнению заявительницы, оспариваемые нормы не соответствуют статьям 15, 19 и 47 Конституции Российской Федерации, поскольку – вследствие противоречивости их содержания – они позволяют рассматривать жалобу на определение суда об отказе в вынесении дополнительного решения до вступления в законную силу решения по существу спора. При этом О.В.Савчук просит восстановить срок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Предусмотренный названной нормой Федерального конституционного закона «О Конституционном Суде Российской Федерации» годичный срок после рассмотрения дела гражданина судом,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Савчук Оксаны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