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797649-О/2024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Ланцева Вячеслава Викторовича на нарушение его конституционных прав абзацами первым и вторым части первой статьи 136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В.В.Ланцева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В.В.Ланцев оспаривает конституционность абзацев первого и второго части первой статьи 136 «Оставление искового заявления без движения» ГПК Российской Федерации. Как следует из представленных материалов, определением суда общей юрисдикции исковое заявление В.В.Ланцева оставлено без движения и истцу в течение установленного срока предложено исправить ряд недостатков. В связи с неустранением в отведенный срок выявленных недостатков искового заявления суд своим определением, оставленным без изменения судами апелляционной и кассационной инстанций, возвратил его истцу. При этом суд кассационной инстанции, соглашаясь с определением суда о 2 возвращении искового заявления, отметил, в частности, что В.В.Ланцев не устранил все недостатки, изложенные в определении об оставлении искового заявления без движения, в том числе не предоставил документы, подтверждающие направление лицам, участвующим в деле, копий искового заявления и приложенных к нему документов.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для рассмотрения в судебном заседании суда кассационной инстанции. По мнению заявителя, оспариваемые законоположения по смыслу, придаваемому им правоприменительной практикой, противоречат статьям 19 (часть 1), 46 (часть 1) и 123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части первой статьи 136 ГПК Российской Федерации судья, установив, что исковое заявление подано в суд без соблюдения требований, установленных статьями 131 и 132 этого же Кодекса, выносит определение об оставлении заявления без движения; 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 (абзацы первый и второй). Данные законоположения не предполагают их произвольного применения и обязывают судью при выявлении того, что заявление подано в суд заинтересованным лицом с нарушением установленных законом формы и содержания, оставить данное заявление без движения и, разъяснив заявителю недостатки представленных документов, предоставить разумный срок для их устранения. Неустранение указанных судом недостатков заявления, оставленного на этом основании без движения, влечет его возвращение определением суда, которое может быть обжаловано в апелляционном 3 порядке (часть третья статьи 135 и статья 136 ГПК Российской Федерации). Кроме того, следует учитывать, что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(часть третья статьи 135 ГПК Российской Федерации). Таким образом, оспариваемые законоположения не могут рассматриваться как нарушающие конституционные права заявителя, перечисленные в жалобе.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Ланцева Вячеслава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