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573984-П/2021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Шмонина Сергея Станиславовича на нарушение его конституционных прав статьей 106 и частью 2 статьи 110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С.С.Шмонина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С.С.Шмонин оспаривает конституционность статьи 106 «Судебные издержки» и части 2 статьи 110 «Распределение судебных расходов между лицами, участвующими в деле» АПК Российской Федерации. Как следует из представленных материалов, вступившим в законную силу решением арбитражного суда С.С.Шмонину отказано в удовлетворении искового заявления к юридическому лицу о взыскании компенсации за нарушение исключительных прав на товарный знак. Поданное впоследствии заявление ответчика о взыскании с истца судебных расходов на оплату услуг представителя было удовлетворено определением арбитражного суда, 2 оставленным без изменения судами апелляционной и кассационной инстанций.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Федерации. С.С.Шмонин полагает, что оспариваемые законоположения противоречат статьям 1, 17, 19, 34 (часть 1) и 57 Конституции Российской Федерации и не подлежат применению судами в части возмещения услуг незаконных предпринимателей – представителей стороны в судебном споре. Заявитель также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Шмонина Сергея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