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538802-П/2021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Н.А.Черкунова, которой постановлением судьи отказано в передаче кассационной жалобы на постановление суда первой инстанции и апелляционное постановление для рассмотрения в судебном заседании суда кассационной инстанции, просит признать не соответствующей статье 46 (часть 1) Конституции Российской Федерации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поскольку, по ее мнению, данное законоположение не устанавливает критериев существенности нарушения уголовного и (или) уголовно-процессуального закона, повлиявшего на исход дела.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