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582773-П/2021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Рыбакина Сергея Владимировича на нарушение его конституционных прав пунктом 2 статьи 1086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С.В.Рыбакина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С.В.Рыбакин, в 2009 году уволенный со службы в органах внутренних дел по основанию, предусмотренному пунктом «з» части седьмой статьи 19 Закона Российской Федерации от 18 апреля 1991 года № 1026-I «О милиции» (по ограниченному состоянию здоровья – на основании заключения военно-врачебной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службе), и в дальнейшем признанный инвалидом вследствие военной травмы, оспаривает конституционность пункта 2 статьи 1086 ГК Российской Федерации, определяющего состав утраченного заработка (дохода) потерпевшего. 2 Нарушение своих прав заявитель усматривает в том, что суд первой инстанции установил размер утраченного дохода в соответствии с законодательством, действовавшим на момент его увольнения со службы (часть четвертая статьи 29 Закона Российской Федерации «О милиции»; Инструкция о порядке возмещения ущерба в случае гибели (смерти) или причинения увечья сотруднику органов внутренних дел, а также ущерба, причиненного имуществу сотрудника органов внутренних дел или его близких (утверждена приказом Министерства внутренних дел Российской Федерации от 15 октября 1999 года № 805); Положение о денежном довольствии сотрудников органов внутренних дел (утверждено приказом Министерства внутренних дел Российской Федерации от 30 сентября 1999 года № 750). В связи с чем С.В.Рыбакин просит отменить вынесенные по его делу судебные постановления, проверить возможность применения в его деле пункта 2 статьи 1086 ГК Российской Федерации во взаимосвязи с Положением об особенностях порядка исчисления средней заработной платы (утверждено Постановлением Правительства Российской Федерации от 24 декабря 2007 года № 922) и Правилами исчисления среднего заработка по последнему месту работы (службы) (утверждены Постановлением Правительства Российской Федерации от 14 сентября 2021 года № 1552) и указать судам, какой нормативный правовой акт подлежит применению в его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1086 ГК Российской Федерации, направленный на защиту интересов граждан, здоровью которых был причинен вред (определения Конституционного Суда Российской Федерации от 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Рыбакина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