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789661-О/2024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Вольского Павла Стемидовича на нарушение его конституционных прав частью третьей статьи 1 и частью третьей статьи 196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П.С.Вольского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П.С.Вольский оспаривает конституционность части третьей статьи 1 «Законодательство о гражданском судопроизводстве» и части третьей статьи 196 «Вопросы, разрешаемые при принятии решения суда» ГПК Российской Федерации. Как следует из представленных материалов, решением суда общей юрисдикции с учетом изменившего его апелляционного определения частично удовлетворены исковые требования П.С.Вольского к гражданину Ш. о взыскании убытков и неустойки за пользование чужими денежными средствами, с чем согласился кассационный суд общей юрисдикции. 2 Определением судьи Верховного Суда Российской Федерации, с которым согласился первый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П.С.Вольского,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45 (часть 1), 46 (часть 1) и 118 (часть 2) Конституции Российской Федерации, поскольку допускают возможность рассмотрения гражданского дела на основе недействующей нормы права и по не заявленному истцом предмету иска.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 ГПК Российской Федерации предусматривает, что гражданское судопроизводство ведется в соответствии с федеральными законами, действующими во время рассмотрения и разрешения гражданского дела, совершения отдельных процессуальных действий или исполнения судебных постановлений (судебных приказов, решений суда, определений суда, постановлений президиума суда надзорной инстанции), постановлений других органов, а часть третья статьи 196 этого Кодекса обязывает суд принять решение именно по заявленным истцом требованиям и позволяет суду выйти за пределы заявленных требований только в случаях, предусмотренных федеральным законом. Указанные положения не предполагают возможности их произвольного применения, в том числе не допускают возможности суда по собственной инициативе изменить предмет заявленного истцом иска, и, как направленные на обеспечение принятия судом законного и обоснованного решения, не могут расцениваться в качестве нарушающих конституционные права заявителя. 3 Установление же и исследование фактических обстоятельств конкретного дела, оценка правильности применения судом норм права с учетом таких обстоятельств, на что фактически направлены доводы жалобы П.С.Вольского,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Вольского Павла Стемидовича,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